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right" w:tblpYSpec="inside"/>
        <w:tblW w:w="0" w:type="auto"/>
        <w:tblLook w:val="04A0"/>
      </w:tblPr>
      <w:tblGrid>
        <w:gridCol w:w="1559"/>
        <w:gridCol w:w="3260"/>
      </w:tblGrid>
      <w:tr w:rsidR="00EA5D5F" w:rsidTr="00EA5D5F">
        <w:tc>
          <w:tcPr>
            <w:tcW w:w="1559" w:type="dxa"/>
          </w:tcPr>
          <w:p w:rsidR="00EA5D5F" w:rsidRDefault="00EA5D5F" w:rsidP="00EA5D5F">
            <w:pPr>
              <w:ind w:firstLine="0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260" w:type="dxa"/>
          </w:tcPr>
          <w:p w:rsidR="00EA5D5F" w:rsidRDefault="00EA5D5F" w:rsidP="00EA5D5F">
            <w:pPr>
              <w:ind w:firstLine="0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EA5D5F" w:rsidTr="00EA5D5F">
        <w:tc>
          <w:tcPr>
            <w:tcW w:w="1559" w:type="dxa"/>
          </w:tcPr>
          <w:p w:rsidR="00EA5D5F" w:rsidRDefault="00EA5D5F" w:rsidP="00EA5D5F">
            <w:pPr>
              <w:ind w:firstLine="0"/>
              <w:rPr>
                <w:b/>
              </w:rPr>
            </w:pPr>
            <w:r>
              <w:rPr>
                <w:b/>
              </w:rPr>
              <w:t>четверть</w:t>
            </w:r>
          </w:p>
        </w:tc>
        <w:tc>
          <w:tcPr>
            <w:tcW w:w="3260" w:type="dxa"/>
          </w:tcPr>
          <w:p w:rsidR="00EA5D5F" w:rsidRDefault="00EA5D5F" w:rsidP="00EA5D5F">
            <w:pPr>
              <w:ind w:firstLine="0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A5D5F" w:rsidTr="00EA5D5F">
        <w:tc>
          <w:tcPr>
            <w:tcW w:w="1559" w:type="dxa"/>
          </w:tcPr>
          <w:p w:rsidR="00EA5D5F" w:rsidRDefault="00EA5D5F" w:rsidP="00EA5D5F">
            <w:pPr>
              <w:ind w:firstLine="0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260" w:type="dxa"/>
          </w:tcPr>
          <w:p w:rsidR="00EA5D5F" w:rsidRDefault="00EA5D5F" w:rsidP="00EA5D5F">
            <w:pPr>
              <w:ind w:firstLine="0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:rsidR="00EA5D5F" w:rsidRPr="0024232D" w:rsidRDefault="0024232D" w:rsidP="0024232D">
      <w:pPr>
        <w:ind w:left="-426" w:firstLine="426"/>
        <w:rPr>
          <w:b/>
        </w:rPr>
      </w:pPr>
      <w:r w:rsidRPr="0024232D">
        <w:rPr>
          <w:b/>
        </w:rPr>
        <w:t>Образовательный минимум</w:t>
      </w:r>
      <w:r>
        <w:rPr>
          <w:b/>
        </w:rPr>
        <w:t xml:space="preserve"> </w:t>
      </w:r>
    </w:p>
    <w:p w:rsidR="0024232D" w:rsidRPr="0024232D" w:rsidRDefault="0024232D" w:rsidP="0024232D">
      <w:pPr>
        <w:ind w:left="-426" w:firstLine="426"/>
        <w:rPr>
          <w:b/>
        </w:rPr>
      </w:pPr>
    </w:p>
    <w:tbl>
      <w:tblPr>
        <w:tblStyle w:val="a3"/>
        <w:tblpPr w:leftFromText="180" w:rightFromText="180" w:vertAnchor="page" w:horzAnchor="margin" w:tblpXSpec="center" w:tblpY="2131"/>
        <w:tblW w:w="11169" w:type="dxa"/>
        <w:tblLook w:val="04A0"/>
      </w:tblPr>
      <w:tblGrid>
        <w:gridCol w:w="5495"/>
        <w:gridCol w:w="5674"/>
      </w:tblGrid>
      <w:tr w:rsidR="00BC4E8F" w:rsidTr="00BC4E8F">
        <w:tc>
          <w:tcPr>
            <w:tcW w:w="5495" w:type="dxa"/>
            <w:vAlign w:val="center"/>
          </w:tcPr>
          <w:p w:rsidR="00BC4E8F" w:rsidRDefault="00BC4E8F" w:rsidP="00BC4E8F">
            <w:pPr>
              <w:ind w:left="-142" w:firstLine="0"/>
              <w:jc w:val="center"/>
              <w:rPr>
                <w:b/>
              </w:rPr>
            </w:pPr>
            <w:r>
              <w:rPr>
                <w:b/>
              </w:rPr>
              <w:t>Вопрос</w:t>
            </w:r>
          </w:p>
        </w:tc>
        <w:tc>
          <w:tcPr>
            <w:tcW w:w="5674" w:type="dxa"/>
            <w:vAlign w:val="center"/>
          </w:tcPr>
          <w:p w:rsidR="00BC4E8F" w:rsidRDefault="00BC4E8F" w:rsidP="00BC4E8F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Ответ</w:t>
            </w:r>
          </w:p>
        </w:tc>
      </w:tr>
      <w:tr w:rsidR="00BC4E8F" w:rsidTr="00BC4E8F">
        <w:tc>
          <w:tcPr>
            <w:tcW w:w="5495" w:type="dxa"/>
          </w:tcPr>
          <w:p w:rsidR="00BC4E8F" w:rsidRPr="00B967CE" w:rsidRDefault="00BC4E8F" w:rsidP="00BC4E8F">
            <w:pPr>
              <w:pStyle w:val="a4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  <w:r w:rsidRPr="00B967CE">
              <w:rPr>
                <w:sz w:val="24"/>
                <w:szCs w:val="24"/>
              </w:rPr>
              <w:t>Какие члены предложения называются обособленными?</w:t>
            </w:r>
          </w:p>
        </w:tc>
        <w:tc>
          <w:tcPr>
            <w:tcW w:w="5674" w:type="dxa"/>
          </w:tcPr>
          <w:p w:rsidR="00BC4E8F" w:rsidRPr="00BC4E8F" w:rsidRDefault="006708EB" w:rsidP="00BC4E8F">
            <w:pPr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Обособленные члены предложения – </w:t>
            </w:r>
            <w:r w:rsidRPr="006708EB">
              <w:rPr>
                <w:sz w:val="24"/>
                <w:szCs w:val="24"/>
              </w:rPr>
              <w:t>выделенные по смыслу</w:t>
            </w:r>
            <w:r w:rsidR="006E352A">
              <w:rPr>
                <w:sz w:val="24"/>
                <w:szCs w:val="24"/>
              </w:rPr>
              <w:t xml:space="preserve"> запятыми (</w:t>
            </w:r>
            <w:r>
              <w:rPr>
                <w:sz w:val="24"/>
                <w:szCs w:val="24"/>
              </w:rPr>
              <w:t xml:space="preserve">реже </w:t>
            </w:r>
            <w:r w:rsidR="006E352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тире</w:t>
            </w:r>
            <w:r w:rsidR="006E352A">
              <w:rPr>
                <w:sz w:val="24"/>
                <w:szCs w:val="24"/>
              </w:rPr>
              <w:t>)</w:t>
            </w:r>
            <w:r w:rsidRPr="006708EB">
              <w:rPr>
                <w:sz w:val="24"/>
                <w:szCs w:val="24"/>
              </w:rPr>
              <w:t xml:space="preserve"> второстепенные члены</w:t>
            </w:r>
            <w:r>
              <w:rPr>
                <w:sz w:val="24"/>
                <w:szCs w:val="24"/>
              </w:rPr>
              <w:t xml:space="preserve"> предложения</w:t>
            </w:r>
            <w:r w:rsidR="006E352A">
              <w:rPr>
                <w:sz w:val="24"/>
                <w:szCs w:val="24"/>
              </w:rPr>
              <w:t>.</w:t>
            </w:r>
          </w:p>
        </w:tc>
      </w:tr>
      <w:tr w:rsidR="00BC4E8F" w:rsidTr="00BC4E8F">
        <w:tc>
          <w:tcPr>
            <w:tcW w:w="5495" w:type="dxa"/>
          </w:tcPr>
          <w:p w:rsidR="00BC4E8F" w:rsidRPr="00B967CE" w:rsidRDefault="00BC4E8F" w:rsidP="00BC4E8F">
            <w:pPr>
              <w:pStyle w:val="a4"/>
              <w:numPr>
                <w:ilvl w:val="0"/>
                <w:numId w:val="2"/>
              </w:numPr>
              <w:jc w:val="left"/>
              <w:rPr>
                <w:b/>
                <w:sz w:val="24"/>
                <w:szCs w:val="24"/>
              </w:rPr>
            </w:pPr>
            <w:r w:rsidRPr="00B967CE">
              <w:rPr>
                <w:sz w:val="24"/>
                <w:szCs w:val="24"/>
              </w:rPr>
              <w:t>Каковы условия обособления второстепенных членов предложения?</w:t>
            </w:r>
          </w:p>
        </w:tc>
        <w:tc>
          <w:tcPr>
            <w:tcW w:w="5674" w:type="dxa"/>
          </w:tcPr>
          <w:p w:rsidR="00BC4E8F" w:rsidRPr="006E352A" w:rsidRDefault="006E352A" w:rsidP="006E352A">
            <w:pPr>
              <w:ind w:firstLine="0"/>
              <w:jc w:val="left"/>
              <w:rPr>
                <w:sz w:val="24"/>
                <w:szCs w:val="24"/>
              </w:rPr>
            </w:pPr>
            <w:r w:rsidRPr="006E352A">
              <w:rPr>
                <w:b/>
                <w:sz w:val="24"/>
                <w:szCs w:val="24"/>
              </w:rPr>
              <w:t>Для обособления второстепенных членов предложения, они должны</w:t>
            </w:r>
            <w:r w:rsidRPr="006E352A">
              <w:rPr>
                <w:sz w:val="24"/>
                <w:szCs w:val="24"/>
              </w:rPr>
              <w:t>:</w:t>
            </w:r>
            <w:r w:rsidRPr="006E352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• </w:t>
            </w:r>
            <w:r w:rsidRPr="006E352A">
              <w:rPr>
                <w:sz w:val="24"/>
                <w:szCs w:val="24"/>
              </w:rPr>
              <w:t>Располагаться в особенном порядке;</w:t>
            </w:r>
            <w:r w:rsidRPr="006E352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• </w:t>
            </w:r>
            <w:r w:rsidRPr="006E352A">
              <w:rPr>
                <w:sz w:val="24"/>
                <w:szCs w:val="24"/>
              </w:rPr>
              <w:t>Уточнять характер отношения одного члена предложения к другому;</w:t>
            </w:r>
            <w:r w:rsidRPr="006E352A">
              <w:rPr>
                <w:sz w:val="24"/>
                <w:szCs w:val="24"/>
              </w:rPr>
              <w:br/>
              <w:t>• Обладать определенной смысловой нагрузкой;</w:t>
            </w:r>
            <w:r w:rsidRPr="006E352A">
              <w:rPr>
                <w:sz w:val="24"/>
                <w:szCs w:val="24"/>
              </w:rPr>
              <w:br/>
              <w:t>• Намеренно выделяться в предложении автором;</w:t>
            </w:r>
            <w:r w:rsidRPr="006E352A">
              <w:rPr>
                <w:sz w:val="24"/>
                <w:szCs w:val="24"/>
              </w:rPr>
              <w:br/>
              <w:t>• Стоять возле других обособленных членов;</w:t>
            </w:r>
            <w:r w:rsidRPr="006E352A">
              <w:rPr>
                <w:sz w:val="24"/>
                <w:szCs w:val="24"/>
              </w:rPr>
              <w:br/>
              <w:t>• Не сочетаться синтаксически и по смыслу с другими членами предложения.</w:t>
            </w:r>
          </w:p>
        </w:tc>
      </w:tr>
      <w:tr w:rsidR="00BC4E8F" w:rsidTr="00BC4E8F">
        <w:tc>
          <w:tcPr>
            <w:tcW w:w="5495" w:type="dxa"/>
          </w:tcPr>
          <w:p w:rsidR="00BC4E8F" w:rsidRPr="00B967CE" w:rsidRDefault="00BC4E8F" w:rsidP="00BC4E8F">
            <w:pPr>
              <w:pStyle w:val="a4"/>
              <w:numPr>
                <w:ilvl w:val="0"/>
                <w:numId w:val="2"/>
              </w:numPr>
              <w:jc w:val="left"/>
              <w:rPr>
                <w:b/>
                <w:sz w:val="24"/>
                <w:szCs w:val="24"/>
              </w:rPr>
            </w:pPr>
            <w:r w:rsidRPr="00B967CE">
              <w:rPr>
                <w:sz w:val="24"/>
                <w:szCs w:val="24"/>
              </w:rPr>
              <w:t>Какие члены предложения называются уточняющими?</w:t>
            </w:r>
          </w:p>
        </w:tc>
        <w:tc>
          <w:tcPr>
            <w:tcW w:w="5674" w:type="dxa"/>
          </w:tcPr>
          <w:p w:rsidR="00BC4E8F" w:rsidRPr="00591594" w:rsidRDefault="00591594" w:rsidP="00591594">
            <w:pPr>
              <w:ind w:firstLine="34"/>
              <w:jc w:val="left"/>
              <w:rPr>
                <w:sz w:val="24"/>
                <w:szCs w:val="24"/>
              </w:rPr>
            </w:pPr>
            <w:r w:rsidRPr="00591594">
              <w:rPr>
                <w:b/>
                <w:sz w:val="24"/>
                <w:szCs w:val="24"/>
              </w:rPr>
              <w:t>Уточняющим</w:t>
            </w:r>
            <w:r w:rsidRPr="00591594">
              <w:rPr>
                <w:sz w:val="24"/>
                <w:szCs w:val="24"/>
              </w:rPr>
              <w:t> называется член предложения, отвечающий на тот же вопрос, что и другой член, после которого он стоит, и служащий для уточнения.</w:t>
            </w:r>
          </w:p>
        </w:tc>
      </w:tr>
      <w:tr w:rsidR="00BC4E8F" w:rsidTr="00BC4E8F">
        <w:tc>
          <w:tcPr>
            <w:tcW w:w="5495" w:type="dxa"/>
          </w:tcPr>
          <w:p w:rsidR="00BC4E8F" w:rsidRPr="00B967CE" w:rsidRDefault="00BC4E8F" w:rsidP="00BC4E8F">
            <w:pPr>
              <w:pStyle w:val="a4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  <w:r w:rsidRPr="00B967CE">
              <w:rPr>
                <w:sz w:val="24"/>
                <w:szCs w:val="24"/>
              </w:rPr>
              <w:t>Какие определения являются однородными, а какие – не однородными?</w:t>
            </w:r>
          </w:p>
        </w:tc>
        <w:tc>
          <w:tcPr>
            <w:tcW w:w="5674" w:type="dxa"/>
          </w:tcPr>
          <w:p w:rsidR="00BC4E8F" w:rsidRPr="002A6303" w:rsidRDefault="00DC5E66" w:rsidP="002A6303">
            <w:pPr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A6303">
              <w:rPr>
                <w:rFonts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Однородные определения</w:t>
            </w:r>
            <w:r w:rsidRPr="002A6303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напрямую связаны с </w:t>
            </w:r>
            <w:r w:rsidR="002A6303" w:rsidRPr="002A6303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главным</w:t>
            </w:r>
            <w:r w:rsidRPr="002A6303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словом, тогда как между собой они находятся в отношениях перечисления</w:t>
            </w:r>
            <w:r w:rsidR="002A6303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; </w:t>
            </w:r>
            <w:r w:rsidR="002A6303" w:rsidRPr="002A6303">
              <w:rPr>
                <w:rFonts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неоднородные определения</w:t>
            </w:r>
            <w:r w:rsidR="002A6303" w:rsidRPr="002A6303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не произносятся с перечислительной интонацией, между ними обычно нельзя поставить союз </w:t>
            </w:r>
            <w:r w:rsidR="002A6303" w:rsidRPr="002A6303">
              <w:rPr>
                <w:rFonts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="002A6303" w:rsidRPr="002A6303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C4E8F" w:rsidTr="00BC4E8F">
        <w:tc>
          <w:tcPr>
            <w:tcW w:w="5495" w:type="dxa"/>
          </w:tcPr>
          <w:p w:rsidR="00BC4E8F" w:rsidRPr="00B967CE" w:rsidRDefault="00BC4E8F" w:rsidP="00BC4E8F">
            <w:pPr>
              <w:pStyle w:val="a4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  <w:r w:rsidRPr="00B967CE">
              <w:rPr>
                <w:sz w:val="24"/>
                <w:szCs w:val="24"/>
              </w:rPr>
              <w:t>Какие члены предложения называются однородными?</w:t>
            </w:r>
          </w:p>
        </w:tc>
        <w:tc>
          <w:tcPr>
            <w:tcW w:w="5674" w:type="dxa"/>
          </w:tcPr>
          <w:p w:rsidR="00BC4E8F" w:rsidRPr="00BC4E8F" w:rsidRDefault="00DC5E66" w:rsidP="00BC4E8F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Однородными </w:t>
            </w:r>
            <w:r>
              <w:rPr>
                <w:sz w:val="24"/>
                <w:szCs w:val="24"/>
              </w:rPr>
              <w:t>называются</w:t>
            </w:r>
            <w:r>
              <w:rPr>
                <w:b/>
                <w:sz w:val="24"/>
                <w:szCs w:val="24"/>
              </w:rPr>
              <w:t xml:space="preserve"> члены предложения</w:t>
            </w:r>
            <w:r>
              <w:rPr>
                <w:sz w:val="24"/>
                <w:szCs w:val="24"/>
              </w:rPr>
              <w:t>, которые относятся к одному и тому же члену предложения, отвечают на один и тот же вопрос и выполняют одинаковую синтаксическую функцию.</w:t>
            </w:r>
          </w:p>
        </w:tc>
      </w:tr>
      <w:tr w:rsidR="00BC4E8F" w:rsidTr="00BC4E8F">
        <w:tc>
          <w:tcPr>
            <w:tcW w:w="5495" w:type="dxa"/>
          </w:tcPr>
          <w:p w:rsidR="00BC4E8F" w:rsidRPr="00B967CE" w:rsidRDefault="00BC4E8F" w:rsidP="00BC4E8F">
            <w:pPr>
              <w:pStyle w:val="a4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  <w:r w:rsidRPr="00B967CE">
              <w:rPr>
                <w:sz w:val="24"/>
                <w:szCs w:val="24"/>
              </w:rPr>
              <w:t>Какие слова называются обобщающими?</w:t>
            </w:r>
          </w:p>
        </w:tc>
        <w:tc>
          <w:tcPr>
            <w:tcW w:w="5674" w:type="dxa"/>
          </w:tcPr>
          <w:p w:rsidR="00BC4E8F" w:rsidRPr="002A6303" w:rsidRDefault="002A6303" w:rsidP="002A6303">
            <w:pPr>
              <w:ind w:firstLine="0"/>
              <w:jc w:val="left"/>
              <w:rPr>
                <w:sz w:val="24"/>
                <w:szCs w:val="24"/>
              </w:rPr>
            </w:pPr>
            <w:r w:rsidRPr="002A6303">
              <w:rPr>
                <w:b/>
                <w:sz w:val="24"/>
                <w:szCs w:val="24"/>
              </w:rPr>
              <w:t>Обобщающее слово</w:t>
            </w:r>
            <w:r w:rsidRPr="002A6303">
              <w:rPr>
                <w:sz w:val="24"/>
                <w:szCs w:val="24"/>
              </w:rPr>
              <w:t> — это слово или сочетание слов, которое является общим обозначением для однородных членов предложения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AA2797" w:rsidRPr="0024232D" w:rsidRDefault="00AA2797" w:rsidP="0024232D">
      <w:pPr>
        <w:ind w:left="-426" w:firstLine="426"/>
        <w:rPr>
          <w:b/>
        </w:rPr>
      </w:pPr>
    </w:p>
    <w:sectPr w:rsidR="00AA2797" w:rsidRPr="0024232D" w:rsidSect="0024232D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D2C86"/>
    <w:multiLevelType w:val="hybridMultilevel"/>
    <w:tmpl w:val="6FC43418"/>
    <w:lvl w:ilvl="0" w:tplc="CFB4DBE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935375D"/>
    <w:multiLevelType w:val="hybridMultilevel"/>
    <w:tmpl w:val="804A0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32D"/>
    <w:rsid w:val="0005180B"/>
    <w:rsid w:val="00216747"/>
    <w:rsid w:val="0024232D"/>
    <w:rsid w:val="002A6303"/>
    <w:rsid w:val="004916DA"/>
    <w:rsid w:val="00591594"/>
    <w:rsid w:val="006708EB"/>
    <w:rsid w:val="006B3594"/>
    <w:rsid w:val="006E352A"/>
    <w:rsid w:val="007C6B95"/>
    <w:rsid w:val="00A1387F"/>
    <w:rsid w:val="00AA2797"/>
    <w:rsid w:val="00B5684E"/>
    <w:rsid w:val="00B967CE"/>
    <w:rsid w:val="00BC4E8F"/>
    <w:rsid w:val="00C858F9"/>
    <w:rsid w:val="00DC5E66"/>
    <w:rsid w:val="00EA5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3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6747"/>
    <w:pPr>
      <w:ind w:left="720"/>
      <w:contextualSpacing/>
    </w:pPr>
  </w:style>
  <w:style w:type="character" w:styleId="a5">
    <w:name w:val="Strong"/>
    <w:basedOn w:val="a0"/>
    <w:uiPriority w:val="22"/>
    <w:qFormat/>
    <w:rsid w:val="005915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2019-03-17T10:03:00Z</dcterms:created>
  <dcterms:modified xsi:type="dcterms:W3CDTF">2019-03-17T10:49:00Z</dcterms:modified>
</cp:coreProperties>
</file>